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1529037" cy="638935"/>
            <wp:effectExtent b="0" l="0" r="0" t="0"/>
            <wp:docPr descr="desconhecido.png" id="1073741827" name="image2.png"/>
            <a:graphic>
              <a:graphicData uri="http://schemas.openxmlformats.org/drawingml/2006/picture">
                <pic:pic>
                  <pic:nvPicPr>
                    <pic:cNvPr descr="desconhecido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9037" cy="638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Ficha Avaliação - FISIOTERAPIA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Cardiovascular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Paciente: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José Elio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Leito: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da Avaliação: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18/10/2021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 de Internação: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3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Idade: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60 anos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Gênero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Masculino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Raça: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Branca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Ocupação: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Pedreiro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Procedência: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unidade de pronto atendimento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Diagnóstico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Clínico: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Sinais de Acidente Vascular Cerebral (AVC)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Diagnóstico Cinesiológico Funcional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O paciente apresentou fraqueza e limitação funcional nos membros inferiores, deambulando em alguns momentos. Devido ao seu diagnóstico clínico foi estabelecido algumas atividades para seu tratamento, além dos medicamentos e de extrema necessidade que o paciente pratica atividades físicas regularmente, podendo ser estas uma caminhada e um protocolo de exercícios repassados pela fisioterapeuta.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Queixa Principal (QP):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highlight w:val="white"/>
          <w:rtl w:val="0"/>
        </w:rPr>
        <w:t xml:space="preserve">Alteração do equilíbrio.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color w:val="ff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Motivo(S) da Admissão (HDA):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paciente chegou n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 unidade de pronto atendimento (UPA) as 19:30 apresentando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highlight w:val="white"/>
          <w:rtl w:val="0"/>
        </w:rPr>
        <w:t xml:space="preserve">fraqueza, formigamento na face, alteração na visão, alteração do equilíbrio, tontura e dor de cabeça intensa, o paciente relatou que tudo isso começou a um dia atrás e que somente no dia seguinte foram ficando cada vez pior o que levou o mesmo a se deslocar ao UPA.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Doenças Anteriores(HDP):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Enxaqueca.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Comorbidades: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Não possui.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Histórico Social (HS):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Faz uso de bebidas alcoólicas, possui sedentarismo e nega tabaco ou qualquer tipo de droga.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Histórico Familiar (HF0 (riscos cardiovasculares)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 família apresenta histórico de hipertensão e obesidade.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Medicamentos: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Faz uso de medicamentos contra azia e qu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eimação no estômago.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Exames Complementares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Radiografia digital de tórax,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highlight w:val="white"/>
          <w:rtl w:val="0"/>
        </w:rPr>
        <w:t xml:space="preserve">eletrocardiograma e tomografia.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EXAME FÍSICO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Sinais Vitais 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FC: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bpm      </w:t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taquicardia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        </w:t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taquipneia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150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mmHg </w:t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hipertensão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39,5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C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hipertermia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bscript"/>
          <w:rtl w:val="0"/>
        </w:rPr>
        <w:t xml:space="preserve">2_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</w:t>
        <w:tab/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hipoxemia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2124"/>
          <w:sz w:val="22"/>
          <w:szCs w:val="22"/>
          <w:rtl w:val="0"/>
        </w:rPr>
        <w:t xml:space="preserve">Escala EVA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10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Antropométricos: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Índice Massa Corpore (IMC)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36 kg/m2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Circunferência Abdominal (CA)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105cm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INSPEÇÃO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 Nutricional: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Obesidade.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Abdome: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Aparentemente normal.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Pele e anexos: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Hidratação: (Seca/umida/oleosa):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Seca.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Textura (aspera/rachadura):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Lisa.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Edema (local / simetria):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Sem edema.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Cicatriz (extensão/localizar):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Sem cicatriz.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Coloração (vermelhidão/palidez/cianose/ictérica/equimoze):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Palidez.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Unha (baqueteamento digital):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Curtas sem raqueamento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Temperatura (frias/aquecidas- cianose/vermelhidão):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Vermelhidão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, quente.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Turgência  Jugular: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Leve.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Alterações musculoesqueléticas (contraturas/deformidades):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Não foram encontradas alterações.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PALPAÇÃO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Cacifo: (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)não   (  ) sim   Local:__________________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Abdômen: (  ) Tenso  (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Flácido   (  ) distendido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Pulsos: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Ritmo irregular.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Perfusão Periférica: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Sem alterações.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Ausculta Cardíaca: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Arritmia cardíaca anormal.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Testes para investigação vascular: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highlight w:val="white"/>
          <w:rtl w:val="0"/>
        </w:rPr>
        <w:t xml:space="preserve">Coagulograma, sinal bandeira, olow, hemograma, homanns.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Escala de Borg: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3 Médio.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1080135</wp:posOffset>
            </wp:positionH>
            <wp:positionV relativeFrom="page">
              <wp:posOffset>7869887</wp:posOffset>
            </wp:positionV>
            <wp:extent cx="1625786" cy="1625786"/>
            <wp:effectExtent b="0" l="0" r="0" t="0"/>
            <wp:wrapSquare wrapText="bothSides" distB="152400" distT="152400" distL="152400" distR="152400"/>
            <wp:docPr descr="http://ennioss.files.wordpress.com/2012/06/borg.jpg" id="1073741828" name="image1.jpg"/>
            <a:graphic>
              <a:graphicData uri="http://schemas.openxmlformats.org/drawingml/2006/picture">
                <pic:pic>
                  <pic:nvPicPr>
                    <pic:cNvPr descr="http://ennioss.files.wordpress.com/2012/06/borg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786" cy="16257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hanging="1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680" w:top="794" w:left="1701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202124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cs="Courier New" w:eastAsia="Courier New" w:hAnsi="Courier New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Estilo Importado 4">
    <w:name w:val="Estilo Importado 4"/>
    <w:pPr>
      <w:numPr>
        <w:numId w:val="1"/>
      </w:numPr>
    </w:pPr>
  </w:style>
  <w:style w:type="numbering" w:styleId="Estilo Importado 6">
    <w:name w:val="Estilo Importado 6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lexYJUhbYsrIx5mCvQvMm/fcQw==">AMUW2mXTTG7RfaDNjB4sWcVt+/dbdMItHiRZyHDYII9ODxfz8ec8Nt5j5D2CQP7ukR7VRB4Vn4otY6haxMPgJ2yH/tDr8a6qm14IcqpbJiUyN4wbh/xPZAQ=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